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DDFC3" w14:textId="54F3C655" w:rsidR="009D12DB" w:rsidRDefault="009D12DB" w:rsidP="00B443BF">
      <w:pPr>
        <w:pStyle w:val="NormalWeb"/>
        <w:jc w:val="center"/>
        <w:rPr>
          <w:rStyle w:val="Strong"/>
          <w:rFonts w:eastAsiaTheme="majorEastAsia"/>
          <w:sz w:val="32"/>
          <w:szCs w:val="32"/>
        </w:rPr>
      </w:pPr>
      <w:r>
        <w:rPr>
          <w:rStyle w:val="Strong"/>
          <w:rFonts w:eastAsiaTheme="majorEastAsia"/>
          <w:sz w:val="32"/>
          <w:szCs w:val="32"/>
        </w:rPr>
        <w:t>Symbiosis Law School, Pune</w:t>
      </w:r>
    </w:p>
    <w:p w14:paraId="47B7F541" w14:textId="6765C51C" w:rsidR="009D12DB" w:rsidRDefault="00114FD6" w:rsidP="009D12DB">
      <w:pPr>
        <w:pStyle w:val="NormalWeb"/>
        <w:jc w:val="center"/>
        <w:rPr>
          <w:rStyle w:val="Strong"/>
          <w:rFonts w:eastAsiaTheme="majorEastAsia"/>
          <w:sz w:val="28"/>
          <w:szCs w:val="28"/>
        </w:rPr>
      </w:pPr>
      <w:r w:rsidRPr="009D12DB">
        <w:rPr>
          <w:rStyle w:val="Strong"/>
          <w:rFonts w:eastAsiaTheme="majorEastAsia"/>
          <w:sz w:val="28"/>
          <w:szCs w:val="28"/>
        </w:rPr>
        <w:t>Guest Lecture</w:t>
      </w:r>
      <w:r w:rsidR="00BB32CF" w:rsidRPr="009D12DB">
        <w:rPr>
          <w:rStyle w:val="Strong"/>
          <w:rFonts w:eastAsiaTheme="majorEastAsia"/>
          <w:sz w:val="28"/>
          <w:szCs w:val="28"/>
        </w:rPr>
        <w:t xml:space="preserve"> </w:t>
      </w:r>
      <w:r w:rsidR="009D12DB" w:rsidRPr="009D12DB">
        <w:rPr>
          <w:rStyle w:val="Strong"/>
          <w:rFonts w:eastAsiaTheme="majorEastAsia"/>
          <w:sz w:val="28"/>
          <w:szCs w:val="28"/>
        </w:rPr>
        <w:t xml:space="preserve">by Professor </w:t>
      </w:r>
      <w:proofErr w:type="spellStart"/>
      <w:r w:rsidR="009D12DB" w:rsidRPr="009D12DB">
        <w:rPr>
          <w:rStyle w:val="Strong"/>
          <w:rFonts w:eastAsiaTheme="majorEastAsia"/>
          <w:sz w:val="28"/>
          <w:szCs w:val="28"/>
        </w:rPr>
        <w:t>Dr.</w:t>
      </w:r>
      <w:proofErr w:type="spellEnd"/>
      <w:r w:rsidR="009D12DB" w:rsidRPr="009D12DB">
        <w:rPr>
          <w:rStyle w:val="Strong"/>
          <w:rFonts w:eastAsiaTheme="majorEastAsia"/>
          <w:sz w:val="28"/>
          <w:szCs w:val="28"/>
        </w:rPr>
        <w:t xml:space="preserve"> Chiara </w:t>
      </w:r>
      <w:proofErr w:type="spellStart"/>
      <w:r w:rsidR="009D12DB" w:rsidRPr="009D12DB">
        <w:rPr>
          <w:rStyle w:val="Strong"/>
          <w:rFonts w:eastAsiaTheme="majorEastAsia"/>
          <w:sz w:val="28"/>
          <w:szCs w:val="28"/>
        </w:rPr>
        <w:t>Ragni</w:t>
      </w:r>
      <w:proofErr w:type="spellEnd"/>
      <w:r w:rsidR="009D12DB" w:rsidRPr="009D12DB">
        <w:rPr>
          <w:rStyle w:val="Strong"/>
          <w:rFonts w:eastAsiaTheme="majorEastAsia"/>
          <w:sz w:val="28"/>
          <w:szCs w:val="28"/>
        </w:rPr>
        <w:t xml:space="preserve"> on ‘</w:t>
      </w:r>
      <w:r w:rsidR="00BB32CF" w:rsidRPr="009D12DB">
        <w:rPr>
          <w:rStyle w:val="Strong"/>
          <w:rFonts w:eastAsiaTheme="majorEastAsia"/>
          <w:sz w:val="28"/>
          <w:szCs w:val="28"/>
        </w:rPr>
        <w:t>Human Rights and AI in the Healthcare Sector:</w:t>
      </w:r>
      <w:r w:rsidR="009D12DB" w:rsidRPr="009D12DB">
        <w:rPr>
          <w:rStyle w:val="Strong"/>
          <w:rFonts w:eastAsiaTheme="majorEastAsia"/>
          <w:sz w:val="28"/>
          <w:szCs w:val="28"/>
        </w:rPr>
        <w:t xml:space="preserve"> </w:t>
      </w:r>
      <w:r w:rsidR="00BB32CF" w:rsidRPr="009D12DB">
        <w:rPr>
          <w:rStyle w:val="Strong"/>
          <w:rFonts w:eastAsiaTheme="majorEastAsia"/>
          <w:sz w:val="28"/>
          <w:szCs w:val="28"/>
        </w:rPr>
        <w:t xml:space="preserve"> The EU Approach</w:t>
      </w:r>
      <w:r w:rsidR="009D12DB" w:rsidRPr="009D12DB">
        <w:rPr>
          <w:rStyle w:val="Strong"/>
          <w:rFonts w:eastAsiaTheme="majorEastAsia"/>
          <w:sz w:val="28"/>
          <w:szCs w:val="28"/>
        </w:rPr>
        <w:t xml:space="preserve"> </w:t>
      </w:r>
    </w:p>
    <w:p w14:paraId="344D6E89" w14:textId="4647A195" w:rsidR="00BB32CF" w:rsidRPr="009D12DB" w:rsidRDefault="009D12DB" w:rsidP="009D12DB">
      <w:pPr>
        <w:pStyle w:val="NormalWeb"/>
        <w:jc w:val="center"/>
        <w:rPr>
          <w:rStyle w:val="Strong"/>
          <w:rFonts w:eastAsiaTheme="majorEastAsia"/>
          <w:sz w:val="28"/>
          <w:szCs w:val="28"/>
        </w:rPr>
      </w:pPr>
      <w:r w:rsidRPr="009D12DB">
        <w:rPr>
          <w:noProof/>
          <w:sz w:val="28"/>
          <w:szCs w:val="28"/>
        </w:rPr>
        <w:drawing>
          <wp:anchor distT="0" distB="0" distL="114300" distR="114300" simplePos="0" relativeHeight="251658240" behindDoc="1" locked="0" layoutInCell="1" allowOverlap="1" wp14:anchorId="653ED3AD" wp14:editId="450EA5DF">
            <wp:simplePos x="0" y="0"/>
            <wp:positionH relativeFrom="margin">
              <wp:align>left</wp:align>
            </wp:positionH>
            <wp:positionV relativeFrom="paragraph">
              <wp:posOffset>599440</wp:posOffset>
            </wp:positionV>
            <wp:extent cx="5722620" cy="4102100"/>
            <wp:effectExtent l="95250" t="76200" r="125730" b="127000"/>
            <wp:wrapTight wrapText="bothSides">
              <wp:wrapPolygon edited="0">
                <wp:start x="-288" y="-401"/>
                <wp:lineTo x="-360" y="21567"/>
                <wp:lineTo x="-144" y="22168"/>
                <wp:lineTo x="21715" y="22168"/>
                <wp:lineTo x="22003" y="20764"/>
                <wp:lineTo x="22003" y="1404"/>
                <wp:lineTo x="21859" y="-401"/>
                <wp:lineTo x="-288" y="-401"/>
              </wp:wrapPolygon>
            </wp:wrapTight>
            <wp:docPr id="1019403903" name="Picture 1"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03903" name="Picture 1" descr="A person standing at a podiu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2620" cy="410210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D12DB">
        <w:rPr>
          <w:rStyle w:val="Strong"/>
          <w:rFonts w:eastAsiaTheme="majorEastAsia"/>
          <w:sz w:val="28"/>
          <w:szCs w:val="28"/>
        </w:rPr>
        <w:t>15</w:t>
      </w:r>
      <w:r w:rsidRPr="009D12DB">
        <w:rPr>
          <w:rStyle w:val="Strong"/>
          <w:rFonts w:eastAsiaTheme="majorEastAsia"/>
          <w:sz w:val="28"/>
          <w:szCs w:val="28"/>
          <w:vertAlign w:val="superscript"/>
        </w:rPr>
        <w:t>th</w:t>
      </w:r>
      <w:r w:rsidRPr="009D12DB">
        <w:rPr>
          <w:rStyle w:val="Strong"/>
          <w:rFonts w:eastAsiaTheme="majorEastAsia"/>
          <w:sz w:val="28"/>
          <w:szCs w:val="28"/>
        </w:rPr>
        <w:t xml:space="preserve"> Jan 2024 from 10 am to 12 pm. </w:t>
      </w:r>
    </w:p>
    <w:p w14:paraId="64FDFBEA" w14:textId="2A442D80" w:rsidR="00114FD6" w:rsidRPr="00B443BF" w:rsidRDefault="00114FD6" w:rsidP="00B443BF">
      <w:pPr>
        <w:pStyle w:val="NormalWeb"/>
        <w:spacing w:line="360" w:lineRule="auto"/>
        <w:jc w:val="center"/>
        <w:rPr>
          <w:sz w:val="32"/>
          <w:szCs w:val="32"/>
        </w:rPr>
      </w:pPr>
      <w:r w:rsidRPr="00114FD6">
        <w:rPr>
          <w:rStyle w:val="Strong"/>
          <w:rFonts w:eastAsiaTheme="majorEastAsia"/>
          <w:sz w:val="32"/>
          <w:szCs w:val="32"/>
          <w:highlight w:val="yellow"/>
        </w:rPr>
        <w:t xml:space="preserve">Guest Speaker: Prof. </w:t>
      </w:r>
      <w:proofErr w:type="spellStart"/>
      <w:r w:rsidRPr="00114FD6">
        <w:rPr>
          <w:rStyle w:val="Strong"/>
          <w:rFonts w:eastAsiaTheme="majorEastAsia"/>
          <w:sz w:val="32"/>
          <w:szCs w:val="32"/>
          <w:highlight w:val="yellow"/>
        </w:rPr>
        <w:t>Dr.</w:t>
      </w:r>
      <w:proofErr w:type="spellEnd"/>
      <w:r w:rsidRPr="00114FD6">
        <w:rPr>
          <w:rStyle w:val="Strong"/>
          <w:rFonts w:eastAsiaTheme="majorEastAsia"/>
          <w:sz w:val="32"/>
          <w:szCs w:val="32"/>
          <w:highlight w:val="yellow"/>
        </w:rPr>
        <w:t xml:space="preserve"> Chiara Ragni</w:t>
      </w:r>
    </w:p>
    <w:p w14:paraId="19964089" w14:textId="3C3A56A5" w:rsidR="00BB32CF" w:rsidRPr="00B443BF" w:rsidRDefault="00BB32CF" w:rsidP="00B443BF">
      <w:pPr>
        <w:autoSpaceDE w:val="0"/>
        <w:autoSpaceDN w:val="0"/>
        <w:adjustRightInd w:val="0"/>
        <w:spacing w:line="360" w:lineRule="auto"/>
        <w:jc w:val="both"/>
        <w:rPr>
          <w:rFonts w:ascii="Times New Roman" w:hAnsi="Times New Roman" w:cs="Times New Roman"/>
          <w:kern w:val="0"/>
        </w:rPr>
      </w:pPr>
      <w:r w:rsidRPr="00B443BF">
        <w:rPr>
          <w:rFonts w:ascii="Times New Roman" w:hAnsi="Times New Roman" w:cs="Times New Roman"/>
        </w:rPr>
        <w:t>On 15</w:t>
      </w:r>
      <w:r w:rsidRPr="00B443BF">
        <w:rPr>
          <w:rFonts w:ascii="Times New Roman" w:hAnsi="Times New Roman" w:cs="Times New Roman"/>
          <w:vertAlign w:val="superscript"/>
        </w:rPr>
        <w:t>th</w:t>
      </w:r>
      <w:r w:rsidRPr="00B443BF">
        <w:rPr>
          <w:rFonts w:ascii="Times New Roman" w:hAnsi="Times New Roman" w:cs="Times New Roman"/>
        </w:rPr>
        <w:t xml:space="preserve"> January, Symbiosis Law School, Pune had the privilege of hosting an enlightening seminar featuring the esteemed </w:t>
      </w:r>
      <w:bookmarkStart w:id="0" w:name="_Hlk188273245"/>
      <w:r w:rsidRPr="00B443BF">
        <w:rPr>
          <w:rFonts w:ascii="Times New Roman" w:hAnsi="Times New Roman" w:cs="Times New Roman"/>
        </w:rPr>
        <w:t xml:space="preserve">Professor </w:t>
      </w:r>
      <w:r w:rsidR="00114FD6">
        <w:rPr>
          <w:rFonts w:ascii="Times New Roman" w:hAnsi="Times New Roman" w:cs="Times New Roman"/>
        </w:rPr>
        <w:t xml:space="preserve">Dr. </w:t>
      </w:r>
      <w:r w:rsidRPr="00B443BF">
        <w:rPr>
          <w:rFonts w:ascii="Times New Roman" w:hAnsi="Times New Roman" w:cs="Times New Roman"/>
        </w:rPr>
        <w:t>Chiara Ragni</w:t>
      </w:r>
      <w:bookmarkEnd w:id="0"/>
      <w:r w:rsidRPr="00B443BF">
        <w:rPr>
          <w:rFonts w:ascii="Times New Roman" w:hAnsi="Times New Roman" w:cs="Times New Roman"/>
        </w:rPr>
        <w:t xml:space="preserve">, a distinguished Full Professor of International Law at the University of Milan. </w:t>
      </w:r>
      <w:r w:rsidR="00B443BF" w:rsidRPr="00B443BF">
        <w:rPr>
          <w:rFonts w:ascii="Times New Roman" w:hAnsi="Times New Roman" w:cs="Times New Roman"/>
          <w:kern w:val="0"/>
        </w:rPr>
        <w:t>With an illustrious career spanning over two decades, Dr. Ragni has established herself as a leading expert in international law, European Union law, and human rights. She is a member of the University of Milan's Ethics Committee and has significantly contributed to research on migration, family law, and human rights through various EU-funded projects.</w:t>
      </w:r>
      <w:r w:rsidR="00B443BF">
        <w:rPr>
          <w:rFonts w:ascii="Times New Roman" w:hAnsi="Times New Roman" w:cs="Times New Roman"/>
          <w:kern w:val="0"/>
        </w:rPr>
        <w:t xml:space="preserve"> </w:t>
      </w:r>
      <w:r w:rsidR="00B443BF" w:rsidRPr="00B443BF">
        <w:rPr>
          <w:rFonts w:ascii="Times New Roman" w:hAnsi="Times New Roman" w:cs="Times New Roman"/>
          <w:kern w:val="0"/>
        </w:rPr>
        <w:t xml:space="preserve">Dr. Ragni's work extends beyond academia. She has been actively involved in international research collaborations, editorial boards of prestigious journals, and numerous conferences addressing contemporary issues like international crimes, </w:t>
      </w:r>
      <w:r w:rsidR="00B443BF" w:rsidRPr="00B443BF">
        <w:rPr>
          <w:rFonts w:ascii="Times New Roman" w:hAnsi="Times New Roman" w:cs="Times New Roman"/>
          <w:kern w:val="0"/>
        </w:rPr>
        <w:lastRenderedPageBreak/>
        <w:t>environmental law, and the evolving role of technology in human rights. Her recent focus on digital evidence and human rights challenges reflects her deep engagement with emerging global concerns.</w:t>
      </w:r>
      <w:r w:rsidR="00B443BF">
        <w:rPr>
          <w:rFonts w:ascii="AppleSystemUIFont" w:hAnsi="AppleSystemUIFont" w:cs="AppleSystemUIFont"/>
          <w:sz w:val="26"/>
          <w:szCs w:val="26"/>
        </w:rPr>
        <w:t xml:space="preserve"> </w:t>
      </w:r>
      <w:r w:rsidRPr="009C078B">
        <w:rPr>
          <w:rFonts w:ascii="Times New Roman" w:hAnsi="Times New Roman" w:cs="Times New Roman"/>
        </w:rPr>
        <w:t>Professor Ragni’s vast expertise in international law, human rights, and European Union law provided a robust foundation for the discussion of the pressing intersection of human rights and artificial intelligence (hereinafter is “AI”) in the healthcare sector, particularly within the context of the European Union</w:t>
      </w:r>
      <w:r w:rsidR="00114FD6">
        <w:rPr>
          <w:rFonts w:ascii="Times New Roman" w:hAnsi="Times New Roman" w:cs="Times New Roman"/>
        </w:rPr>
        <w:t>. We had the absolute honour to have such a distinguished faculty of Milan University</w:t>
      </w:r>
      <w:r w:rsidR="008E1EDF">
        <w:rPr>
          <w:rFonts w:ascii="Times New Roman" w:hAnsi="Times New Roman" w:cs="Times New Roman"/>
        </w:rPr>
        <w:t xml:space="preserve"> to present her thoughts at Symbiosis Law School. The students were grateful to management, faculties and to our dynamic dean Dr. Shashikala Gurpur for organizing such an eventful and thought invigorating seminars. </w:t>
      </w:r>
    </w:p>
    <w:p w14:paraId="53712126" w14:textId="206AB156" w:rsidR="0086607F" w:rsidRPr="009C078B" w:rsidRDefault="00114FD6" w:rsidP="009C078B">
      <w:pPr>
        <w:pStyle w:val="NormalWeb"/>
        <w:spacing w:line="360" w:lineRule="auto"/>
        <w:jc w:val="both"/>
      </w:pPr>
      <w:r>
        <w:rPr>
          <w:noProof/>
          <w14:ligatures w14:val="standardContextual"/>
        </w:rPr>
        <w:drawing>
          <wp:anchor distT="0" distB="0" distL="114300" distR="114300" simplePos="0" relativeHeight="251662336" behindDoc="1" locked="0" layoutInCell="1" allowOverlap="1" wp14:anchorId="373F0FD3" wp14:editId="2B84815C">
            <wp:simplePos x="0" y="0"/>
            <wp:positionH relativeFrom="column">
              <wp:posOffset>-12065</wp:posOffset>
            </wp:positionH>
            <wp:positionV relativeFrom="paragraph">
              <wp:posOffset>1050290</wp:posOffset>
            </wp:positionV>
            <wp:extent cx="3239135" cy="2609850"/>
            <wp:effectExtent l="88900" t="76200" r="88265" b="107950"/>
            <wp:wrapTight wrapText="bothSides">
              <wp:wrapPolygon edited="0">
                <wp:start x="-254" y="-631"/>
                <wp:lineTo x="-593" y="-420"/>
                <wp:lineTo x="-593" y="21547"/>
                <wp:lineTo x="-254" y="22388"/>
                <wp:lineTo x="21765" y="22388"/>
                <wp:lineTo x="22104" y="21547"/>
                <wp:lineTo x="22104" y="1261"/>
                <wp:lineTo x="21850" y="-315"/>
                <wp:lineTo x="21850" y="-631"/>
                <wp:lineTo x="-254" y="-631"/>
              </wp:wrapPolygon>
            </wp:wrapTight>
            <wp:docPr id="2077553008" name="Picture 7" descr="A person standing in front of a podium with a microphone and 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53008" name="Picture 7" descr="A person standing in front of a podium with a microphone and a group of people sitting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9135" cy="260985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32CF" w:rsidRPr="009C078B">
        <w:t>The session began with Professor Ragni establishing the critical importance of addressing human rights in the age of AI-driven healthcare advancements.</w:t>
      </w:r>
      <w:r w:rsidR="0086607F" w:rsidRPr="009C078B">
        <w:t xml:space="preserve"> </w:t>
      </w:r>
      <w:r w:rsidR="0086607F" w:rsidRPr="000176A9">
        <w:t xml:space="preserve">AI is revolutionizing the healthcare sector by offering innovative solutions to longstanding challenges. From early disease detection to personalized treatment plans, AI holds immense potential to improve patient outcomes and enhance healthcare delivery. </w:t>
      </w:r>
      <w:r w:rsidR="00BB32CF" w:rsidRPr="009C078B">
        <w:t xml:space="preserve">She highlighted that while AI presents unprecedented opportunities to revolutionize diagnostics, treatment personalization, and operational efficiencies in healthcare systems, </w:t>
      </w:r>
      <w:r w:rsidR="0086607F" w:rsidRPr="000176A9">
        <w:t>However, this rapid technological advancement raises critical human rights concern</w:t>
      </w:r>
      <w:r w:rsidR="0086607F" w:rsidRPr="009C078B">
        <w:t>s and Issues such as privacy, discrimination, accountability, and equitable access to AI-powered healthcare tools demand immediate and comprehensive scrutiny</w:t>
      </w:r>
      <w:r w:rsidR="0086607F" w:rsidRPr="000176A9">
        <w:t>.</w:t>
      </w:r>
      <w:r w:rsidR="0086607F" w:rsidRPr="009C078B">
        <w:t xml:space="preserve"> </w:t>
      </w:r>
      <w:r w:rsidR="0086607F" w:rsidRPr="000176A9">
        <w:t>The European Union (</w:t>
      </w:r>
      <w:r w:rsidR="0086607F" w:rsidRPr="009C078B">
        <w:t>hereinafter is “</w:t>
      </w:r>
      <w:r w:rsidR="0086607F" w:rsidRPr="000176A9">
        <w:t>EU</w:t>
      </w:r>
      <w:r w:rsidR="0086607F" w:rsidRPr="009C078B">
        <w:t>”</w:t>
      </w:r>
      <w:r w:rsidR="0086607F" w:rsidRPr="000176A9">
        <w:t>), as a global leader in regulatory frameworks, has adopted a balanced approach to harness the benefits of AI while safeguarding fundamental human right</w:t>
      </w:r>
      <w:r w:rsidR="0086607F" w:rsidRPr="009C078B">
        <w:t>s.</w:t>
      </w:r>
    </w:p>
    <w:p w14:paraId="361186C5" w14:textId="08565871" w:rsidR="0086607F" w:rsidRPr="000176A9" w:rsidRDefault="0086607F" w:rsidP="009C078B">
      <w:pPr>
        <w:spacing w:before="100" w:beforeAutospacing="1" w:after="100" w:afterAutospacing="1" w:line="360" w:lineRule="auto"/>
        <w:jc w:val="both"/>
        <w:outlineLvl w:val="2"/>
        <w:rPr>
          <w:rFonts w:ascii="Times New Roman" w:eastAsia="Times New Roman" w:hAnsi="Times New Roman" w:cs="Times New Roman"/>
          <w:b/>
          <w:bCs/>
          <w:kern w:val="0"/>
          <w:sz w:val="28"/>
          <w:szCs w:val="28"/>
          <w:lang w:val="en-IN" w:eastAsia="en-GB"/>
          <w14:ligatures w14:val="none"/>
        </w:rPr>
      </w:pPr>
      <w:r w:rsidRPr="000176A9">
        <w:rPr>
          <w:rFonts w:ascii="Times New Roman" w:eastAsia="Times New Roman" w:hAnsi="Times New Roman" w:cs="Times New Roman"/>
          <w:b/>
          <w:bCs/>
          <w:kern w:val="0"/>
          <w:sz w:val="28"/>
          <w:szCs w:val="28"/>
          <w:lang w:val="en-IN" w:eastAsia="en-GB"/>
          <w14:ligatures w14:val="none"/>
        </w:rPr>
        <w:t>The Potential of AI in Healthcare</w:t>
      </w:r>
    </w:p>
    <w:p w14:paraId="596C16D8" w14:textId="42B97F50" w:rsidR="0086607F" w:rsidRPr="000176A9" w:rsidRDefault="0086607F"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kern w:val="0"/>
          <w:lang w:val="en-IN" w:eastAsia="en-GB"/>
          <w14:ligatures w14:val="none"/>
        </w:rPr>
        <w:t>AI applications in healthcare span across various domains, including:</w:t>
      </w:r>
    </w:p>
    <w:p w14:paraId="22B55029" w14:textId="1300CAA4" w:rsidR="0086607F" w:rsidRPr="000176A9" w:rsidRDefault="0086607F" w:rsidP="009C078B">
      <w:pPr>
        <w:numPr>
          <w:ilvl w:val="0"/>
          <w:numId w:val="8"/>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Diagnostics:</w:t>
      </w:r>
      <w:r w:rsidRPr="000176A9">
        <w:rPr>
          <w:rFonts w:ascii="Times New Roman" w:eastAsia="Times New Roman" w:hAnsi="Times New Roman" w:cs="Times New Roman"/>
          <w:kern w:val="0"/>
          <w:lang w:val="en-IN" w:eastAsia="en-GB"/>
          <w14:ligatures w14:val="none"/>
        </w:rPr>
        <w:t xml:space="preserve"> AI-driven algorithms can </w:t>
      </w:r>
      <w:proofErr w:type="spellStart"/>
      <w:r w:rsidRPr="000176A9">
        <w:rPr>
          <w:rFonts w:ascii="Times New Roman" w:eastAsia="Times New Roman" w:hAnsi="Times New Roman" w:cs="Times New Roman"/>
          <w:kern w:val="0"/>
          <w:lang w:val="en-IN" w:eastAsia="en-GB"/>
          <w14:ligatures w14:val="none"/>
        </w:rPr>
        <w:t>analyze</w:t>
      </w:r>
      <w:proofErr w:type="spellEnd"/>
      <w:r w:rsidRPr="000176A9">
        <w:rPr>
          <w:rFonts w:ascii="Times New Roman" w:eastAsia="Times New Roman" w:hAnsi="Times New Roman" w:cs="Times New Roman"/>
          <w:kern w:val="0"/>
          <w:lang w:val="en-IN" w:eastAsia="en-GB"/>
          <w14:ligatures w14:val="none"/>
        </w:rPr>
        <w:t xml:space="preserve"> medical imaging data, such as X-rays and MRIs, to identify diseases with remarkable accuracy. For instance, AI systems have </w:t>
      </w:r>
      <w:r w:rsidRPr="000176A9">
        <w:rPr>
          <w:rFonts w:ascii="Times New Roman" w:eastAsia="Times New Roman" w:hAnsi="Times New Roman" w:cs="Times New Roman"/>
          <w:kern w:val="0"/>
          <w:lang w:val="en-IN" w:eastAsia="en-GB"/>
          <w14:ligatures w14:val="none"/>
        </w:rPr>
        <w:lastRenderedPageBreak/>
        <w:t>demonstrated proficiency in detecting conditions like cancer and heart disease, often outperforming human specialists.</w:t>
      </w:r>
    </w:p>
    <w:p w14:paraId="20D0F9C2" w14:textId="5C4FD614" w:rsidR="0086607F" w:rsidRPr="000176A9" w:rsidRDefault="0086607F" w:rsidP="009C078B">
      <w:pPr>
        <w:numPr>
          <w:ilvl w:val="0"/>
          <w:numId w:val="8"/>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Treatment Personalization:</w:t>
      </w:r>
      <w:r w:rsidRPr="000176A9">
        <w:rPr>
          <w:rFonts w:ascii="Times New Roman" w:eastAsia="Times New Roman" w:hAnsi="Times New Roman" w:cs="Times New Roman"/>
          <w:kern w:val="0"/>
          <w:lang w:val="en-IN" w:eastAsia="en-GB"/>
          <w14:ligatures w14:val="none"/>
        </w:rPr>
        <w:t xml:space="preserve"> AI tools can tailor treatment plans based on individual patient data, ensuring more effective and targeted interventions.</w:t>
      </w:r>
    </w:p>
    <w:p w14:paraId="0C0A382F" w14:textId="77777777" w:rsidR="0086607F" w:rsidRPr="000176A9" w:rsidRDefault="0086607F" w:rsidP="009C078B">
      <w:pPr>
        <w:numPr>
          <w:ilvl w:val="0"/>
          <w:numId w:val="8"/>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Operational Efficiency:</w:t>
      </w:r>
      <w:r w:rsidRPr="000176A9">
        <w:rPr>
          <w:rFonts w:ascii="Times New Roman" w:eastAsia="Times New Roman" w:hAnsi="Times New Roman" w:cs="Times New Roman"/>
          <w:kern w:val="0"/>
          <w:lang w:val="en-IN" w:eastAsia="en-GB"/>
          <w14:ligatures w14:val="none"/>
        </w:rPr>
        <w:t xml:space="preserve"> AI-powered systems optimize hospital workflows, manage resources, and reduce administrative burdens, allowing healthcare professionals to focus on patient care.</w:t>
      </w:r>
    </w:p>
    <w:p w14:paraId="7F1A1918" w14:textId="77777777" w:rsidR="0086607F" w:rsidRPr="000176A9" w:rsidRDefault="0086607F" w:rsidP="009C078B">
      <w:pPr>
        <w:numPr>
          <w:ilvl w:val="0"/>
          <w:numId w:val="8"/>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Drug Discovery:</w:t>
      </w:r>
      <w:r w:rsidRPr="000176A9">
        <w:rPr>
          <w:rFonts w:ascii="Times New Roman" w:eastAsia="Times New Roman" w:hAnsi="Times New Roman" w:cs="Times New Roman"/>
          <w:kern w:val="0"/>
          <w:lang w:val="en-IN" w:eastAsia="en-GB"/>
          <w14:ligatures w14:val="none"/>
        </w:rPr>
        <w:t xml:space="preserve"> Machine learning models accelerate the drug discovery process by identifying potential compounds and predicting their efficacy, significantly reducing research and development timelines.</w:t>
      </w:r>
    </w:p>
    <w:p w14:paraId="2741AC80" w14:textId="77777777" w:rsidR="0086607F" w:rsidRPr="000176A9" w:rsidRDefault="0086607F"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kern w:val="0"/>
          <w:lang w:val="en-IN" w:eastAsia="en-GB"/>
          <w14:ligatures w14:val="none"/>
        </w:rPr>
        <w:t>Despite these advancements, the deployment of AI in healthcare is fraught with ethical and legal challenges, necessitating robust regulatory oversight.</w:t>
      </w:r>
    </w:p>
    <w:p w14:paraId="62F4F07E" w14:textId="77777777" w:rsidR="0086607F" w:rsidRPr="00B443BF" w:rsidRDefault="0086607F" w:rsidP="009C078B">
      <w:pPr>
        <w:pStyle w:val="NormalWeb"/>
        <w:spacing w:line="360" w:lineRule="auto"/>
        <w:jc w:val="both"/>
        <w:rPr>
          <w:sz w:val="28"/>
          <w:szCs w:val="28"/>
        </w:rPr>
      </w:pPr>
      <w:r w:rsidRPr="00B443BF">
        <w:rPr>
          <w:rStyle w:val="Strong"/>
          <w:rFonts w:eastAsiaTheme="majorEastAsia"/>
          <w:sz w:val="28"/>
          <w:szCs w:val="28"/>
        </w:rPr>
        <w:t>Ethical and Human Rights Implications</w:t>
      </w:r>
    </w:p>
    <w:p w14:paraId="69BAF487" w14:textId="43C72BA8" w:rsidR="0086607F" w:rsidRPr="009C078B" w:rsidRDefault="00B443BF" w:rsidP="009C078B">
      <w:pPr>
        <w:pStyle w:val="NormalWeb"/>
        <w:spacing w:line="360" w:lineRule="auto"/>
        <w:jc w:val="both"/>
      </w:pPr>
      <w:r>
        <w:rPr>
          <w:noProof/>
          <w14:ligatures w14:val="standardContextual"/>
        </w:rPr>
        <w:drawing>
          <wp:anchor distT="0" distB="0" distL="114300" distR="114300" simplePos="0" relativeHeight="251659264" behindDoc="1" locked="0" layoutInCell="1" allowOverlap="1" wp14:anchorId="340116D8" wp14:editId="7F091B90">
            <wp:simplePos x="0" y="0"/>
            <wp:positionH relativeFrom="column">
              <wp:posOffset>-162538</wp:posOffset>
            </wp:positionH>
            <wp:positionV relativeFrom="paragraph">
              <wp:posOffset>471170</wp:posOffset>
            </wp:positionV>
            <wp:extent cx="3836283" cy="2877425"/>
            <wp:effectExtent l="88900" t="76200" r="88265" b="107315"/>
            <wp:wrapTight wrapText="bothSides">
              <wp:wrapPolygon edited="0">
                <wp:start x="-286" y="-572"/>
                <wp:lineTo x="-501" y="-381"/>
                <wp:lineTo x="-501" y="21548"/>
                <wp:lineTo x="-286" y="22310"/>
                <wp:lineTo x="21739" y="22310"/>
                <wp:lineTo x="22025" y="21071"/>
                <wp:lineTo x="22025" y="1144"/>
                <wp:lineTo x="21739" y="-286"/>
                <wp:lineTo x="21739" y="-572"/>
                <wp:lineTo x="-286" y="-572"/>
              </wp:wrapPolygon>
            </wp:wrapTight>
            <wp:docPr id="1806042568" name="Picture 2"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2568" name="Picture 2" descr="A person standing at a podiu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6283" cy="2877425"/>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6607F" w:rsidRPr="009C078B">
        <w:t>The seminar shed light on the ethical dilemmas surrounding AI in healthcare. Professor Ragni emphasized that while AI algorithms have the potential to enhance decision-making, they must be transparent and explainable to prevent biases and ensure accountability. She cited examples of AI systems in healthcare that inadvertently perpetuated discriminatory practices, underscoring the importance of continuous monitoring and ethical auditing of these technologies.</w:t>
      </w:r>
    </w:p>
    <w:p w14:paraId="1010A657" w14:textId="71E39B3B" w:rsidR="0086607F" w:rsidRPr="000176A9" w:rsidRDefault="0086607F"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kern w:val="0"/>
          <w:lang w:val="en-IN" w:eastAsia="en-GB"/>
          <w14:ligatures w14:val="none"/>
        </w:rPr>
        <w:t>The integration of AI in healthcare intersects with several human rights issues:</w:t>
      </w:r>
    </w:p>
    <w:p w14:paraId="69CA1379" w14:textId="19991DD8" w:rsidR="0086607F" w:rsidRPr="000176A9" w:rsidRDefault="0086607F" w:rsidP="009C078B">
      <w:pPr>
        <w:numPr>
          <w:ilvl w:val="0"/>
          <w:numId w:val="9"/>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lastRenderedPageBreak/>
        <w:t>Privacy and Data Protection:</w:t>
      </w:r>
      <w:r w:rsidRPr="000176A9">
        <w:rPr>
          <w:rFonts w:ascii="Times New Roman" w:eastAsia="Times New Roman" w:hAnsi="Times New Roman" w:cs="Times New Roman"/>
          <w:kern w:val="0"/>
          <w:lang w:val="en-IN" w:eastAsia="en-GB"/>
          <w14:ligatures w14:val="none"/>
        </w:rPr>
        <w:t xml:space="preserve"> AI systems rely on vast amounts of personal health data to function effectively. The unauthorized use or mishandling of this data can lead to breaches of patient privacy, undermining the right to confidentiality.</w:t>
      </w:r>
    </w:p>
    <w:p w14:paraId="0859E7D2" w14:textId="77777777" w:rsidR="0086607F" w:rsidRPr="000176A9" w:rsidRDefault="0086607F" w:rsidP="009C078B">
      <w:pPr>
        <w:numPr>
          <w:ilvl w:val="0"/>
          <w:numId w:val="9"/>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Non-Discrimination:</w:t>
      </w:r>
      <w:r w:rsidRPr="000176A9">
        <w:rPr>
          <w:rFonts w:ascii="Times New Roman" w:eastAsia="Times New Roman" w:hAnsi="Times New Roman" w:cs="Times New Roman"/>
          <w:kern w:val="0"/>
          <w:lang w:val="en-IN" w:eastAsia="en-GB"/>
          <w14:ligatures w14:val="none"/>
        </w:rPr>
        <w:t xml:space="preserve"> Biases in AI algorithms, often stemming from non-representative training data, can perpetuate inequalities in healthcare delivery. For instance, AI tools may yield less accurate results for underrepresented populations, exacerbating health disparities.</w:t>
      </w:r>
    </w:p>
    <w:p w14:paraId="7C1F151D" w14:textId="77777777" w:rsidR="0086607F" w:rsidRPr="000176A9" w:rsidRDefault="0086607F" w:rsidP="009C078B">
      <w:pPr>
        <w:numPr>
          <w:ilvl w:val="0"/>
          <w:numId w:val="9"/>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Accessibility:</w:t>
      </w:r>
      <w:r w:rsidRPr="000176A9">
        <w:rPr>
          <w:rFonts w:ascii="Times New Roman" w:eastAsia="Times New Roman" w:hAnsi="Times New Roman" w:cs="Times New Roman"/>
          <w:kern w:val="0"/>
          <w:lang w:val="en-IN" w:eastAsia="en-GB"/>
          <w14:ligatures w14:val="none"/>
        </w:rPr>
        <w:t xml:space="preserve"> While AI has the potential to democratize healthcare, its benefits may remain inaccessible to marginalized communities due to digital divides and high implementation costs.</w:t>
      </w:r>
    </w:p>
    <w:p w14:paraId="4F79F1B8" w14:textId="77777777" w:rsidR="0086607F" w:rsidRPr="000176A9" w:rsidRDefault="0086607F" w:rsidP="009C078B">
      <w:pPr>
        <w:numPr>
          <w:ilvl w:val="0"/>
          <w:numId w:val="9"/>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Accountability and Transparency:</w:t>
      </w:r>
      <w:r w:rsidRPr="000176A9">
        <w:rPr>
          <w:rFonts w:ascii="Times New Roman" w:eastAsia="Times New Roman" w:hAnsi="Times New Roman" w:cs="Times New Roman"/>
          <w:kern w:val="0"/>
          <w:lang w:val="en-IN" w:eastAsia="en-GB"/>
          <w14:ligatures w14:val="none"/>
        </w:rPr>
        <w:t xml:space="preserve"> The "black-box" nature of some AI systems makes it challenging to understand how decisions are made, raising concerns about accountability in cases of adverse outcomes.</w:t>
      </w:r>
    </w:p>
    <w:p w14:paraId="4443C851" w14:textId="77777777" w:rsidR="0086607F" w:rsidRPr="009C078B" w:rsidRDefault="0086607F" w:rsidP="009C078B">
      <w:pPr>
        <w:pStyle w:val="NormalWeb"/>
        <w:spacing w:line="360" w:lineRule="auto"/>
        <w:jc w:val="both"/>
      </w:pPr>
      <w:r w:rsidRPr="009C078B">
        <w:t>Professor Ragni also addressed the delicate balance between innovation and privacy. With AI systems relying heavily on vast amounts of patient data, she stressed the necessity of robust data protection mechanisms, particularly under the GDPR. She highlighted landmark cases that illustrated both successes and pitfalls in maintaining this balance, offering valuable lessons for the future.</w:t>
      </w:r>
    </w:p>
    <w:p w14:paraId="283A1C09" w14:textId="5CB98005" w:rsidR="00BB32CF" w:rsidRPr="00114FD6" w:rsidRDefault="00BB32CF" w:rsidP="009C078B">
      <w:pPr>
        <w:pStyle w:val="NormalWeb"/>
        <w:spacing w:line="360" w:lineRule="auto"/>
        <w:jc w:val="both"/>
        <w:rPr>
          <w:sz w:val="28"/>
          <w:szCs w:val="28"/>
        </w:rPr>
      </w:pPr>
      <w:r w:rsidRPr="00114FD6">
        <w:rPr>
          <w:rStyle w:val="Strong"/>
          <w:rFonts w:eastAsiaTheme="majorEastAsia"/>
          <w:sz w:val="28"/>
          <w:szCs w:val="28"/>
        </w:rPr>
        <w:t>Legal Framework in the EU</w:t>
      </w:r>
    </w:p>
    <w:p w14:paraId="694E7B68" w14:textId="45960CA6" w:rsidR="00BB32CF" w:rsidRPr="009C078B" w:rsidRDefault="008E1EDF" w:rsidP="009C078B">
      <w:pPr>
        <w:pStyle w:val="NormalWeb"/>
        <w:spacing w:line="360" w:lineRule="auto"/>
        <w:jc w:val="both"/>
      </w:pPr>
      <w:r>
        <w:rPr>
          <w:noProof/>
          <w14:ligatures w14:val="standardContextual"/>
        </w:rPr>
        <w:lastRenderedPageBreak/>
        <w:drawing>
          <wp:anchor distT="0" distB="0" distL="114300" distR="114300" simplePos="0" relativeHeight="251660288" behindDoc="1" locked="0" layoutInCell="1" allowOverlap="1" wp14:anchorId="072503A7" wp14:editId="3CF3E445">
            <wp:simplePos x="0" y="0"/>
            <wp:positionH relativeFrom="column">
              <wp:posOffset>88900</wp:posOffset>
            </wp:positionH>
            <wp:positionV relativeFrom="paragraph">
              <wp:posOffset>833798</wp:posOffset>
            </wp:positionV>
            <wp:extent cx="4038600" cy="3029585"/>
            <wp:effectExtent l="88900" t="76200" r="88900" b="107315"/>
            <wp:wrapTight wrapText="bothSides">
              <wp:wrapPolygon edited="0">
                <wp:start x="-272" y="-543"/>
                <wp:lineTo x="-475" y="-362"/>
                <wp:lineTo x="-475" y="21369"/>
                <wp:lineTo x="-272" y="22275"/>
                <wp:lineTo x="21804" y="22275"/>
                <wp:lineTo x="22008" y="21369"/>
                <wp:lineTo x="22008" y="1087"/>
                <wp:lineTo x="21804" y="-272"/>
                <wp:lineTo x="21804" y="-543"/>
                <wp:lineTo x="-272" y="-543"/>
              </wp:wrapPolygon>
            </wp:wrapTight>
            <wp:docPr id="1980565872" name="Picture 4" descr="A perso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65872" name="Picture 4" descr="A person standing in front of a podiu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8600" cy="3029585"/>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32CF" w:rsidRPr="009C078B">
        <w:t>Professor Ragni delved into the European Union’s proactive approach to regulating AI technologies, particularly emphasizing its commitment to upholding fundamental human rights as enshrined in the Charter of Fundamental Rights of the European Union. She discussed key EU policies and legislative efforts aimed at fostering AI innovation while safeguarding human dignity, privacy, and equality.</w:t>
      </w:r>
      <w:r>
        <w:t xml:space="preserve"> </w:t>
      </w:r>
      <w:r w:rsidR="00BB32CF" w:rsidRPr="009C078B">
        <w:t xml:space="preserve">Central to the discussion was the EU’s Artificial Intelligence Act (hereinafter is “AIA”), a pioneering regulatory framework designed to ensure that AI systems are developed and deployed responsibly. Professor Ragni elaborated on the risk-based approach adopted by the AIA, categorizing AI systems into unacceptable, high-risk, limited-risk, and minimal risk categories. Healthcare applications often fall into the high-risk category, necessitating stringent compliance with safety, transparency, and fairness standards. The AIA applies a comprehensive risk-based approach to regulating digital medical products. By aligning and interacting with existing regulations like the </w:t>
      </w:r>
      <w:r w:rsidR="00BB32CF" w:rsidRPr="009C078B">
        <w:rPr>
          <w:color w:val="001D35"/>
          <w:shd w:val="clear" w:color="auto" w:fill="FFFFFF"/>
        </w:rPr>
        <w:t>European Union Medical Device Regulation</w:t>
      </w:r>
      <w:r w:rsidR="00BB32CF" w:rsidRPr="009C078B">
        <w:t xml:space="preserve"> /</w:t>
      </w:r>
      <w:r w:rsidR="00BB32CF" w:rsidRPr="009C078B">
        <w:rPr>
          <w:color w:val="040C28"/>
        </w:rPr>
        <w:t xml:space="preserve"> In-Vitro Diagnostic Medical Device Regulation (</w:t>
      </w:r>
      <w:r w:rsidR="00BB32CF" w:rsidRPr="009C078B">
        <w:t xml:space="preserve">hereinafter is EU MDR/IVDR) and </w:t>
      </w:r>
      <w:r w:rsidR="00BB32CF" w:rsidRPr="009C078B">
        <w:rPr>
          <w:shd w:val="clear" w:color="auto" w:fill="FFFFFF"/>
        </w:rPr>
        <w:t>General Data Protection Regulation</w:t>
      </w:r>
      <w:r w:rsidR="00BB32CF" w:rsidRPr="009C078B">
        <w:t xml:space="preserve"> (hereinafter is “GDPR”), the Act impacts AI across healthcare, focusing on patient safety, AI system efficacy, data governance, and ethical use.</w:t>
      </w:r>
    </w:p>
    <w:p w14:paraId="4C51A87C" w14:textId="1904E846" w:rsidR="009C078B" w:rsidRPr="000176A9" w:rsidRDefault="009C078B"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9C078B">
        <w:rPr>
          <w:rFonts w:ascii="Times New Roman" w:hAnsi="Times New Roman" w:cs="Times New Roman"/>
        </w:rPr>
        <w:t xml:space="preserve">Also, </w:t>
      </w:r>
      <w:r w:rsidRPr="000176A9">
        <w:rPr>
          <w:rFonts w:ascii="Times New Roman" w:eastAsia="Times New Roman" w:hAnsi="Times New Roman" w:cs="Times New Roman"/>
          <w:kern w:val="0"/>
          <w:lang w:val="en-IN" w:eastAsia="en-GB"/>
          <w14:ligatures w14:val="none"/>
        </w:rPr>
        <w:t>The European Commission’s High-Level Expert Group on AI released the "Ethics Guidelines for Trustworthy AI" in 2019. These guidelines outline seven key principles for AI development:</w:t>
      </w:r>
    </w:p>
    <w:p w14:paraId="73B97D41" w14:textId="77777777" w:rsidR="009C078B" w:rsidRPr="000176A9"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Human Agency and Oversight:</w:t>
      </w:r>
      <w:r w:rsidRPr="000176A9">
        <w:rPr>
          <w:rFonts w:ascii="Times New Roman" w:eastAsia="Times New Roman" w:hAnsi="Times New Roman" w:cs="Times New Roman"/>
          <w:kern w:val="0"/>
          <w:lang w:val="en-IN" w:eastAsia="en-GB"/>
          <w14:ligatures w14:val="none"/>
        </w:rPr>
        <w:t xml:space="preserve"> Ensuring that AI systems enhance human decision-making without undermining autonomy.</w:t>
      </w:r>
    </w:p>
    <w:p w14:paraId="2E070925" w14:textId="77777777" w:rsidR="009C078B" w:rsidRPr="000176A9"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lastRenderedPageBreak/>
        <w:t>Technical Robustness and Safety:</w:t>
      </w:r>
      <w:r w:rsidRPr="000176A9">
        <w:rPr>
          <w:rFonts w:ascii="Times New Roman" w:eastAsia="Times New Roman" w:hAnsi="Times New Roman" w:cs="Times New Roman"/>
          <w:kern w:val="0"/>
          <w:lang w:val="en-IN" w:eastAsia="en-GB"/>
          <w14:ligatures w14:val="none"/>
        </w:rPr>
        <w:t xml:space="preserve"> Building reliable systems that prevent harm and ensure patient safety.</w:t>
      </w:r>
    </w:p>
    <w:p w14:paraId="5EF6A4E2" w14:textId="3BB1BAFC" w:rsidR="009C078B" w:rsidRPr="000176A9"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Privacy and Data Governance:</w:t>
      </w:r>
      <w:r w:rsidRPr="000176A9">
        <w:rPr>
          <w:rFonts w:ascii="Times New Roman" w:eastAsia="Times New Roman" w:hAnsi="Times New Roman" w:cs="Times New Roman"/>
          <w:kern w:val="0"/>
          <w:lang w:val="en-IN" w:eastAsia="en-GB"/>
          <w14:ligatures w14:val="none"/>
        </w:rPr>
        <w:t xml:space="preserve"> Upholding strict data protection standards.</w:t>
      </w:r>
    </w:p>
    <w:p w14:paraId="37206724" w14:textId="1EFD19DE" w:rsidR="009C078B" w:rsidRPr="000176A9"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Transparency:</w:t>
      </w:r>
      <w:r w:rsidRPr="000176A9">
        <w:rPr>
          <w:rFonts w:ascii="Times New Roman" w:eastAsia="Times New Roman" w:hAnsi="Times New Roman" w:cs="Times New Roman"/>
          <w:kern w:val="0"/>
          <w:lang w:val="en-IN" w:eastAsia="en-GB"/>
          <w14:ligatures w14:val="none"/>
        </w:rPr>
        <w:t xml:space="preserve"> Promoting explainability and communication about AI processes.</w:t>
      </w:r>
    </w:p>
    <w:p w14:paraId="71219F46" w14:textId="44E1104F" w:rsidR="009C078B" w:rsidRPr="000176A9" w:rsidRDefault="008E1EDF"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Pr>
          <w:rFonts w:eastAsiaTheme="majorEastAsia"/>
          <w:b/>
          <w:bCs/>
          <w:noProof/>
        </w:rPr>
        <w:drawing>
          <wp:anchor distT="0" distB="0" distL="114300" distR="114300" simplePos="0" relativeHeight="251663360" behindDoc="1" locked="0" layoutInCell="1" allowOverlap="1" wp14:anchorId="7BAA2786" wp14:editId="31E52D8B">
            <wp:simplePos x="0" y="0"/>
            <wp:positionH relativeFrom="column">
              <wp:posOffset>267970</wp:posOffset>
            </wp:positionH>
            <wp:positionV relativeFrom="paragraph">
              <wp:posOffset>856462</wp:posOffset>
            </wp:positionV>
            <wp:extent cx="5163439" cy="2611624"/>
            <wp:effectExtent l="38100" t="38100" r="31115" b="43180"/>
            <wp:wrapTight wrapText="bothSides">
              <wp:wrapPolygon edited="0">
                <wp:start x="-159" y="-315"/>
                <wp:lineTo x="-159" y="21852"/>
                <wp:lineTo x="21677" y="21852"/>
                <wp:lineTo x="21677" y="-315"/>
                <wp:lineTo x="-159" y="-315"/>
              </wp:wrapPolygon>
            </wp:wrapTight>
            <wp:docPr id="1164239419" name="Picture 8"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9419" name="Picture 8" descr="A group of people sitting at desks in a classroom&#10;&#10;AI-generated content may be incorrect."/>
                    <pic:cNvPicPr/>
                  </pic:nvPicPr>
                  <pic:blipFill rotWithShape="1">
                    <a:blip r:embed="rId9" cstate="print">
                      <a:extLst>
                        <a:ext uri="{28A0092B-C50C-407E-A947-70E740481C1C}">
                          <a14:useLocalDpi xmlns:a14="http://schemas.microsoft.com/office/drawing/2010/main" val="0"/>
                        </a:ext>
                      </a:extLst>
                    </a:blip>
                    <a:srcRect t="32566"/>
                    <a:stretch/>
                  </pic:blipFill>
                  <pic:spPr bwMode="auto">
                    <a:xfrm>
                      <a:off x="0" y="0"/>
                      <a:ext cx="5163439" cy="2611624"/>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78B" w:rsidRPr="000176A9">
        <w:rPr>
          <w:rFonts w:ascii="Times New Roman" w:eastAsia="Times New Roman" w:hAnsi="Times New Roman" w:cs="Times New Roman"/>
          <w:b/>
          <w:bCs/>
          <w:kern w:val="0"/>
          <w:lang w:val="en-IN" w:eastAsia="en-GB"/>
          <w14:ligatures w14:val="none"/>
        </w:rPr>
        <w:t>Diversity, Non-Discrimination, and Fairness:</w:t>
      </w:r>
      <w:r w:rsidR="009C078B" w:rsidRPr="000176A9">
        <w:rPr>
          <w:rFonts w:ascii="Times New Roman" w:eastAsia="Times New Roman" w:hAnsi="Times New Roman" w:cs="Times New Roman"/>
          <w:kern w:val="0"/>
          <w:lang w:val="en-IN" w:eastAsia="en-GB"/>
          <w14:ligatures w14:val="none"/>
        </w:rPr>
        <w:t xml:space="preserve"> Preventing biases and ensuring inclusivity in AI systems.</w:t>
      </w:r>
    </w:p>
    <w:p w14:paraId="31E84069" w14:textId="6A5E636E" w:rsidR="009C078B" w:rsidRPr="000176A9"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Societal and Environmental Well-being:</w:t>
      </w:r>
      <w:r w:rsidRPr="000176A9">
        <w:rPr>
          <w:rFonts w:ascii="Times New Roman" w:eastAsia="Times New Roman" w:hAnsi="Times New Roman" w:cs="Times New Roman"/>
          <w:kern w:val="0"/>
          <w:lang w:val="en-IN" w:eastAsia="en-GB"/>
          <w14:ligatures w14:val="none"/>
        </w:rPr>
        <w:t xml:space="preserve"> Aligning AI innovations with broader societal goals.</w:t>
      </w:r>
    </w:p>
    <w:p w14:paraId="150B2AE4" w14:textId="7F6AF25F" w:rsidR="009C078B" w:rsidRPr="009C078B" w:rsidRDefault="009C078B" w:rsidP="009C078B">
      <w:pPr>
        <w:numPr>
          <w:ilvl w:val="0"/>
          <w:numId w:val="10"/>
        </w:num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b/>
          <w:bCs/>
          <w:kern w:val="0"/>
          <w:lang w:val="en-IN" w:eastAsia="en-GB"/>
          <w14:ligatures w14:val="none"/>
        </w:rPr>
        <w:t>Accountability:</w:t>
      </w:r>
      <w:r w:rsidRPr="000176A9">
        <w:rPr>
          <w:rFonts w:ascii="Times New Roman" w:eastAsia="Times New Roman" w:hAnsi="Times New Roman" w:cs="Times New Roman"/>
          <w:kern w:val="0"/>
          <w:lang w:val="en-IN" w:eastAsia="en-GB"/>
          <w14:ligatures w14:val="none"/>
        </w:rPr>
        <w:t xml:space="preserve"> Establishing mechanisms to address grievances and rectify harms caused by AI.</w:t>
      </w:r>
    </w:p>
    <w:p w14:paraId="5D5ED67C" w14:textId="43FDD2D2" w:rsidR="00114FD6" w:rsidRPr="00114FD6" w:rsidRDefault="00BB32CF" w:rsidP="009C078B">
      <w:pPr>
        <w:pStyle w:val="NormalWeb"/>
        <w:spacing w:line="360" w:lineRule="auto"/>
        <w:jc w:val="both"/>
        <w:rPr>
          <w:sz w:val="28"/>
          <w:szCs w:val="28"/>
        </w:rPr>
      </w:pPr>
      <w:r w:rsidRPr="00114FD6">
        <w:rPr>
          <w:rStyle w:val="Strong"/>
          <w:rFonts w:eastAsiaTheme="majorEastAsia"/>
          <w:sz w:val="28"/>
          <w:szCs w:val="28"/>
        </w:rPr>
        <w:t>Ethical and Human Rights Implications</w:t>
      </w:r>
    </w:p>
    <w:p w14:paraId="11C526E9" w14:textId="4EE25EE2" w:rsidR="00BB32CF" w:rsidRPr="009C078B" w:rsidRDefault="00114FD6" w:rsidP="009C078B">
      <w:pPr>
        <w:pStyle w:val="NormalWeb"/>
        <w:spacing w:line="360" w:lineRule="auto"/>
        <w:jc w:val="both"/>
      </w:pPr>
      <w:r>
        <w:rPr>
          <w:noProof/>
          <w14:ligatures w14:val="standardContextual"/>
        </w:rPr>
        <w:lastRenderedPageBreak/>
        <w:drawing>
          <wp:anchor distT="0" distB="0" distL="114300" distR="114300" simplePos="0" relativeHeight="251661312" behindDoc="1" locked="0" layoutInCell="1" allowOverlap="1" wp14:anchorId="44950B71" wp14:editId="1FFA13CE">
            <wp:simplePos x="0" y="0"/>
            <wp:positionH relativeFrom="column">
              <wp:posOffset>46355</wp:posOffset>
            </wp:positionH>
            <wp:positionV relativeFrom="paragraph">
              <wp:posOffset>1043743</wp:posOffset>
            </wp:positionV>
            <wp:extent cx="3613150" cy="2709545"/>
            <wp:effectExtent l="88900" t="76200" r="82550" b="104775"/>
            <wp:wrapTight wrapText="bothSides">
              <wp:wrapPolygon edited="0">
                <wp:start x="-304" y="-284"/>
                <wp:lineTo x="-531" y="-190"/>
                <wp:lineTo x="-456" y="21801"/>
                <wp:lineTo x="-304" y="21944"/>
                <wp:lineTo x="21790" y="21944"/>
                <wp:lineTo x="21866" y="21801"/>
                <wp:lineTo x="22018" y="21091"/>
                <wp:lineTo x="22018" y="569"/>
                <wp:lineTo x="21790" y="-142"/>
                <wp:lineTo x="21790" y="-284"/>
                <wp:lineTo x="-304" y="-284"/>
              </wp:wrapPolygon>
            </wp:wrapTight>
            <wp:docPr id="1111838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8304" name="Picture 11118383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3150" cy="2709545"/>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B32CF" w:rsidRPr="009C078B">
        <w:t>The seminar shed light on the ethical dilemmas surrounding AI in healthcare. Professor Ragni emphasized that while AI algorithms have the potential to enhance decision-making, they must be transparent and explainable to prevent biases and ensure accountability. She cited examples of AI systems in healthcare that inadvertently perpetuated discriminatory practices, underscoring the importance of continuous monitoring and ethical auditing of these technologies.</w:t>
      </w:r>
    </w:p>
    <w:p w14:paraId="4EC49FF3" w14:textId="69C3FEB7" w:rsidR="009C078B" w:rsidRPr="009C078B" w:rsidRDefault="009C078B" w:rsidP="009C078B">
      <w:pPr>
        <w:pStyle w:val="NormalWeb"/>
        <w:spacing w:line="360" w:lineRule="auto"/>
        <w:jc w:val="both"/>
      </w:pPr>
      <w:r w:rsidRPr="009C078B">
        <w:t>We also delved into the concept of How explicit consent has played a pivotal role in maintaining the balance between AI and healthcare. The concept of explicit consent is pivotal in the intersection of human rights and AI in the healthcare sector, particularly under the EU’s regulatory framework. Explicit consent ensures that individuals have full autonomy over their personal data, upholding the principles of dignity, privacy, and informed decision-making enshrined in EU human rights law. Under the GDPR, consent must be freely given, specific, informed, and unambiguous, particularly when processing sensitive health data. The EU approach recognizes that the deployment of AI in healthcare—be it for diagnosis, treatment optimization, or research—carries risks of bias, discrimination, and misuse of personal data. Explicit consent serves as a safeguard, requiring healthcare providers and AI systems to prioritize transparency, fairness, and accountability. This ensures that AI-driven advancements respect fundamental rights, empowering patients while fostering trust in AI technologies.</w:t>
      </w:r>
    </w:p>
    <w:p w14:paraId="38F4750C" w14:textId="782839FF" w:rsidR="00114FD6" w:rsidRPr="009C078B" w:rsidRDefault="00BB32CF" w:rsidP="009C078B">
      <w:pPr>
        <w:pStyle w:val="NormalWeb"/>
        <w:spacing w:line="360" w:lineRule="auto"/>
        <w:jc w:val="both"/>
      </w:pPr>
      <w:r w:rsidRPr="009C078B">
        <w:t>Professor Ragni also addressed the delicate balance between innovation and privacy. With AI systems relying heavily on vast amounts of patient data, she stressed the necessity of robust data protection mechanisms, particularly under the GDPR. She highlighted landmark cases that illustrated both successes and pitfalls in maintaining this balance, offering valuable lessons for the future.</w:t>
      </w:r>
    </w:p>
    <w:p w14:paraId="68FB1ACE" w14:textId="77777777" w:rsidR="00BB32CF" w:rsidRPr="00114FD6" w:rsidRDefault="00BB32CF" w:rsidP="009C078B">
      <w:pPr>
        <w:pStyle w:val="NormalWeb"/>
        <w:spacing w:line="360" w:lineRule="auto"/>
        <w:jc w:val="both"/>
        <w:rPr>
          <w:sz w:val="28"/>
          <w:szCs w:val="28"/>
        </w:rPr>
      </w:pPr>
      <w:r w:rsidRPr="00114FD6">
        <w:rPr>
          <w:rStyle w:val="Strong"/>
          <w:rFonts w:eastAsiaTheme="majorEastAsia"/>
          <w:sz w:val="28"/>
          <w:szCs w:val="28"/>
        </w:rPr>
        <w:t>Future Outlook and Recommendations</w:t>
      </w:r>
    </w:p>
    <w:p w14:paraId="6C932DC2" w14:textId="77777777" w:rsidR="009C078B" w:rsidRPr="000176A9" w:rsidRDefault="00BB32CF"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9C078B">
        <w:rPr>
          <w:rFonts w:ascii="Times New Roman" w:hAnsi="Times New Roman" w:cs="Times New Roman"/>
        </w:rPr>
        <w:lastRenderedPageBreak/>
        <w:t>Concluding her talk, Professor Ragni emphasized the need for interdisciplinary collaboration among lawmakers, technologists, healthcare professionals, and ethicists to navigate the complex landscape of AI in healthcare. She advocated for continuous education and awareness initiatives to equip stakeholders with the knowledge to address these challenges effectively.</w:t>
      </w:r>
      <w:r w:rsidR="009C078B" w:rsidRPr="009C078B">
        <w:rPr>
          <w:rFonts w:ascii="Times New Roman" w:hAnsi="Times New Roman" w:cs="Times New Roman"/>
        </w:rPr>
        <w:t xml:space="preserve"> </w:t>
      </w:r>
      <w:r w:rsidR="009C078B" w:rsidRPr="000176A9">
        <w:rPr>
          <w:rFonts w:ascii="Times New Roman" w:eastAsia="Times New Roman" w:hAnsi="Times New Roman" w:cs="Times New Roman"/>
          <w:kern w:val="0"/>
          <w:lang w:val="en-IN" w:eastAsia="en-GB"/>
          <w14:ligatures w14:val="none"/>
        </w:rPr>
        <w:t>Looking ahead, the EU must continue refining its frameworks to address emerging challenges. Enhancing public-private partnerships, investing in ethical AI research, and fostering international collaboration will be pivotal in shaping the future of AI in healthcare.</w:t>
      </w:r>
    </w:p>
    <w:p w14:paraId="044031B9" w14:textId="473E5016" w:rsidR="00BB32CF" w:rsidRPr="009C078B" w:rsidRDefault="009C078B" w:rsidP="009C078B">
      <w:pPr>
        <w:spacing w:before="100" w:beforeAutospacing="1" w:after="100" w:afterAutospacing="1" w:line="360" w:lineRule="auto"/>
        <w:jc w:val="both"/>
        <w:rPr>
          <w:rFonts w:ascii="Times New Roman" w:eastAsia="Times New Roman" w:hAnsi="Times New Roman" w:cs="Times New Roman"/>
          <w:kern w:val="0"/>
          <w:lang w:val="en-IN" w:eastAsia="en-GB"/>
          <w14:ligatures w14:val="none"/>
        </w:rPr>
      </w:pPr>
      <w:r w:rsidRPr="000176A9">
        <w:rPr>
          <w:rFonts w:ascii="Times New Roman" w:eastAsia="Times New Roman" w:hAnsi="Times New Roman" w:cs="Times New Roman"/>
          <w:kern w:val="0"/>
          <w:lang w:val="en-IN" w:eastAsia="en-GB"/>
          <w14:ligatures w14:val="none"/>
        </w:rPr>
        <w:t>The EU’s approach to AI in healthcare exemplifies a commitment to balancing technological progress with the protection of human rights. By prioritizing ethics, transparency, and inclusivity, the EU sets a benchmark for responsible AI adoption. As AI continues to transform healthcare, the EU’s regulatory and ethical frameworks offer valuable lessons for global stakeholders striving to harness AI’s potential while safeguarding fundamental human rights.</w:t>
      </w:r>
    </w:p>
    <w:p w14:paraId="2DC0345D" w14:textId="77777777" w:rsidR="00BB32CF" w:rsidRPr="009C078B" w:rsidRDefault="00BB32CF" w:rsidP="009C078B">
      <w:pPr>
        <w:pStyle w:val="NormalWeb"/>
        <w:spacing w:line="360" w:lineRule="auto"/>
        <w:jc w:val="both"/>
      </w:pPr>
      <w:r w:rsidRPr="009C078B">
        <w:t>The seminar concluded with an engaging Q&amp;A session, where students and faculty raised pertinent questions about the practical implications of the EU’s regulatory framework and the potential for international harmonization of AI governance standards.</w:t>
      </w:r>
    </w:p>
    <w:p w14:paraId="41A5A96E" w14:textId="77777777" w:rsidR="00BB32CF" w:rsidRPr="00114FD6" w:rsidRDefault="00BB32CF" w:rsidP="009C078B">
      <w:pPr>
        <w:pStyle w:val="NormalWeb"/>
        <w:spacing w:line="360" w:lineRule="auto"/>
        <w:jc w:val="both"/>
        <w:rPr>
          <w:sz w:val="28"/>
          <w:szCs w:val="28"/>
        </w:rPr>
      </w:pPr>
      <w:r w:rsidRPr="00114FD6">
        <w:rPr>
          <w:rStyle w:val="Strong"/>
          <w:rFonts w:eastAsiaTheme="majorEastAsia"/>
          <w:sz w:val="28"/>
          <w:szCs w:val="28"/>
        </w:rPr>
        <w:t>Closing Remarks</w:t>
      </w:r>
    </w:p>
    <w:p w14:paraId="0B61AC0B" w14:textId="77777777" w:rsidR="00BB32CF" w:rsidRPr="009C078B" w:rsidRDefault="00BB32CF" w:rsidP="009C078B">
      <w:pPr>
        <w:pStyle w:val="NormalWeb"/>
        <w:spacing w:line="360" w:lineRule="auto"/>
        <w:jc w:val="both"/>
      </w:pPr>
      <w:r w:rsidRPr="009C078B">
        <w:t>Professor Chiara Ragni’s insightful presentation provided attendees with a comprehensive understanding of the legal, ethical, and human rights dimensions of AI in the healthcare sector. Her expertise and thought-provoking perspectives served as a call to action for all stakeholders to ensure that AI technologies contribute positively to society while upholding the highest standards of human rights. The event was a resounding success, leaving participants with valuable knowledge and a renewed commitment to addressing these critical issues.</w:t>
      </w:r>
    </w:p>
    <w:p w14:paraId="317B69F8" w14:textId="36F6EE1B" w:rsidR="0062639F" w:rsidRPr="008E1EDF" w:rsidRDefault="008E1EDF">
      <w:pPr>
        <w:rPr>
          <w:rFonts w:ascii="Times New Roman" w:hAnsi="Times New Roman" w:cs="Times New Roman"/>
          <w:i/>
          <w:iCs/>
          <w:sz w:val="22"/>
          <w:szCs w:val="22"/>
        </w:rPr>
      </w:pPr>
      <w:r w:rsidRPr="008E1EDF">
        <w:rPr>
          <w:rFonts w:ascii="Times New Roman" w:hAnsi="Times New Roman" w:cs="Times New Roman"/>
          <w:i/>
          <w:iCs/>
          <w:sz w:val="22"/>
          <w:szCs w:val="22"/>
        </w:rPr>
        <w:t xml:space="preserve">Credits- </w:t>
      </w:r>
    </w:p>
    <w:p w14:paraId="7B05D3A7" w14:textId="26B8D96A" w:rsidR="008E1EDF" w:rsidRPr="008E1EDF" w:rsidRDefault="008E1EDF">
      <w:pPr>
        <w:rPr>
          <w:rFonts w:ascii="Times New Roman" w:hAnsi="Times New Roman" w:cs="Times New Roman"/>
          <w:i/>
          <w:iCs/>
          <w:sz w:val="22"/>
          <w:szCs w:val="22"/>
        </w:rPr>
      </w:pPr>
      <w:r w:rsidRPr="008E1EDF">
        <w:rPr>
          <w:rFonts w:ascii="Times New Roman" w:hAnsi="Times New Roman" w:cs="Times New Roman"/>
          <w:i/>
          <w:iCs/>
          <w:sz w:val="22"/>
          <w:szCs w:val="22"/>
        </w:rPr>
        <w:t xml:space="preserve">Photos by </w:t>
      </w:r>
      <w:r w:rsidR="005D02E4">
        <w:rPr>
          <w:rFonts w:ascii="Times New Roman" w:hAnsi="Times New Roman" w:cs="Times New Roman"/>
          <w:i/>
          <w:iCs/>
          <w:sz w:val="22"/>
          <w:szCs w:val="22"/>
        </w:rPr>
        <w:t xml:space="preserve">Ms. </w:t>
      </w:r>
      <w:r w:rsidRPr="008E1EDF">
        <w:rPr>
          <w:rFonts w:ascii="Times New Roman" w:hAnsi="Times New Roman" w:cs="Times New Roman"/>
          <w:i/>
          <w:iCs/>
          <w:sz w:val="22"/>
          <w:szCs w:val="22"/>
        </w:rPr>
        <w:t xml:space="preserve">Sneha </w:t>
      </w:r>
      <w:proofErr w:type="spellStart"/>
      <w:r w:rsidRPr="008E1EDF">
        <w:rPr>
          <w:rFonts w:ascii="Times New Roman" w:hAnsi="Times New Roman" w:cs="Times New Roman"/>
          <w:i/>
          <w:iCs/>
          <w:sz w:val="22"/>
          <w:szCs w:val="22"/>
        </w:rPr>
        <w:t>Badhiye</w:t>
      </w:r>
      <w:proofErr w:type="spellEnd"/>
      <w:r w:rsidRPr="008E1EDF">
        <w:rPr>
          <w:rFonts w:ascii="Times New Roman" w:hAnsi="Times New Roman" w:cs="Times New Roman"/>
          <w:i/>
          <w:iCs/>
          <w:sz w:val="22"/>
          <w:szCs w:val="22"/>
        </w:rPr>
        <w:t xml:space="preserve"> and Report by</w:t>
      </w:r>
      <w:r w:rsidR="005D02E4">
        <w:rPr>
          <w:rFonts w:ascii="Times New Roman" w:hAnsi="Times New Roman" w:cs="Times New Roman"/>
          <w:i/>
          <w:iCs/>
          <w:sz w:val="22"/>
          <w:szCs w:val="22"/>
        </w:rPr>
        <w:t xml:space="preserve"> Ms.</w:t>
      </w:r>
      <w:bookmarkStart w:id="1" w:name="_GoBack"/>
      <w:bookmarkEnd w:id="1"/>
      <w:r w:rsidRPr="008E1EDF">
        <w:rPr>
          <w:rFonts w:ascii="Times New Roman" w:hAnsi="Times New Roman" w:cs="Times New Roman"/>
          <w:i/>
          <w:iCs/>
          <w:sz w:val="22"/>
          <w:szCs w:val="22"/>
        </w:rPr>
        <w:t xml:space="preserve"> </w:t>
      </w:r>
      <w:proofErr w:type="spellStart"/>
      <w:r w:rsidRPr="008E1EDF">
        <w:rPr>
          <w:rFonts w:ascii="Times New Roman" w:hAnsi="Times New Roman" w:cs="Times New Roman"/>
          <w:i/>
          <w:iCs/>
          <w:sz w:val="22"/>
          <w:szCs w:val="22"/>
        </w:rPr>
        <w:t>Dishani</w:t>
      </w:r>
      <w:proofErr w:type="spellEnd"/>
      <w:r w:rsidRPr="008E1EDF">
        <w:rPr>
          <w:rFonts w:ascii="Times New Roman" w:hAnsi="Times New Roman" w:cs="Times New Roman"/>
          <w:i/>
          <w:iCs/>
          <w:sz w:val="22"/>
          <w:szCs w:val="22"/>
        </w:rPr>
        <w:t xml:space="preserve"> Guha (students of LLM Batch 2024- 2025)</w:t>
      </w:r>
    </w:p>
    <w:sectPr w:rsidR="008E1EDF" w:rsidRPr="008E1EDF" w:rsidSect="00114FD6">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63FE"/>
    <w:multiLevelType w:val="multilevel"/>
    <w:tmpl w:val="B09A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AE2ECF"/>
    <w:multiLevelType w:val="multilevel"/>
    <w:tmpl w:val="CE2CF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6122A"/>
    <w:multiLevelType w:val="multilevel"/>
    <w:tmpl w:val="100A9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6957D1"/>
    <w:multiLevelType w:val="multilevel"/>
    <w:tmpl w:val="76A4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5A78C2"/>
    <w:multiLevelType w:val="multilevel"/>
    <w:tmpl w:val="1ED65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65EBE"/>
    <w:multiLevelType w:val="multilevel"/>
    <w:tmpl w:val="DAB8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C601E"/>
    <w:multiLevelType w:val="multilevel"/>
    <w:tmpl w:val="66B0C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D131A7"/>
    <w:multiLevelType w:val="multilevel"/>
    <w:tmpl w:val="28C8F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8F2C3C"/>
    <w:multiLevelType w:val="multilevel"/>
    <w:tmpl w:val="58DC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287879"/>
    <w:multiLevelType w:val="multilevel"/>
    <w:tmpl w:val="26C80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5"/>
  </w:num>
  <w:num w:numId="4">
    <w:abstractNumId w:val="8"/>
  </w:num>
  <w:num w:numId="5">
    <w:abstractNumId w:val="2"/>
  </w:num>
  <w:num w:numId="6">
    <w:abstractNumId w:val="6"/>
  </w:num>
  <w:num w:numId="7">
    <w:abstractNumId w:val="3"/>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2CF"/>
    <w:rsid w:val="00114FD6"/>
    <w:rsid w:val="005D02E4"/>
    <w:rsid w:val="005F121B"/>
    <w:rsid w:val="0062639F"/>
    <w:rsid w:val="00716613"/>
    <w:rsid w:val="00744DBD"/>
    <w:rsid w:val="0086607F"/>
    <w:rsid w:val="008E1EDF"/>
    <w:rsid w:val="009C078B"/>
    <w:rsid w:val="009D12DB"/>
    <w:rsid w:val="00B443BF"/>
    <w:rsid w:val="00BB32CF"/>
    <w:rsid w:val="00BB39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CB9A3"/>
  <w15:chartTrackingRefBased/>
  <w15:docId w15:val="{692CF86D-C850-6148-A951-32E5A296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B3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3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32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B32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32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32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2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2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2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2CF"/>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B32CF"/>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BB32CF"/>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rsid w:val="00BB32CF"/>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B32CF"/>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B32CF"/>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B32CF"/>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B32CF"/>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B32CF"/>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B32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2CF"/>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B32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2CF"/>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B32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32CF"/>
    <w:rPr>
      <w:i/>
      <w:iCs/>
      <w:color w:val="404040" w:themeColor="text1" w:themeTint="BF"/>
      <w:lang w:val="en-GB"/>
    </w:rPr>
  </w:style>
  <w:style w:type="paragraph" w:styleId="ListParagraph">
    <w:name w:val="List Paragraph"/>
    <w:basedOn w:val="Normal"/>
    <w:uiPriority w:val="34"/>
    <w:qFormat/>
    <w:rsid w:val="00BB32CF"/>
    <w:pPr>
      <w:ind w:left="720"/>
      <w:contextualSpacing/>
    </w:pPr>
  </w:style>
  <w:style w:type="character" w:styleId="IntenseEmphasis">
    <w:name w:val="Intense Emphasis"/>
    <w:basedOn w:val="DefaultParagraphFont"/>
    <w:uiPriority w:val="21"/>
    <w:qFormat/>
    <w:rsid w:val="00BB32CF"/>
    <w:rPr>
      <w:i/>
      <w:iCs/>
      <w:color w:val="0F4761" w:themeColor="accent1" w:themeShade="BF"/>
    </w:rPr>
  </w:style>
  <w:style w:type="paragraph" w:styleId="IntenseQuote">
    <w:name w:val="Intense Quote"/>
    <w:basedOn w:val="Normal"/>
    <w:next w:val="Normal"/>
    <w:link w:val="IntenseQuoteChar"/>
    <w:uiPriority w:val="30"/>
    <w:qFormat/>
    <w:rsid w:val="00BB3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32CF"/>
    <w:rPr>
      <w:i/>
      <w:iCs/>
      <w:color w:val="0F4761" w:themeColor="accent1" w:themeShade="BF"/>
      <w:lang w:val="en-GB"/>
    </w:rPr>
  </w:style>
  <w:style w:type="character" w:styleId="IntenseReference">
    <w:name w:val="Intense Reference"/>
    <w:basedOn w:val="DefaultParagraphFont"/>
    <w:uiPriority w:val="32"/>
    <w:qFormat/>
    <w:rsid w:val="00BB32CF"/>
    <w:rPr>
      <w:b/>
      <w:bCs/>
      <w:smallCaps/>
      <w:color w:val="0F4761" w:themeColor="accent1" w:themeShade="BF"/>
      <w:spacing w:val="5"/>
    </w:rPr>
  </w:style>
  <w:style w:type="paragraph" w:styleId="NormalWeb">
    <w:name w:val="Normal (Web)"/>
    <w:basedOn w:val="Normal"/>
    <w:uiPriority w:val="99"/>
    <w:unhideWhenUsed/>
    <w:rsid w:val="00BB32CF"/>
    <w:pPr>
      <w:spacing w:before="100" w:beforeAutospacing="1" w:after="100" w:afterAutospacing="1"/>
    </w:pPr>
    <w:rPr>
      <w:rFonts w:ascii="Times New Roman" w:eastAsia="Times New Roman" w:hAnsi="Times New Roman" w:cs="Times New Roman"/>
      <w:kern w:val="0"/>
      <w:lang w:val="en-IN" w:eastAsia="en-GB"/>
      <w14:ligatures w14:val="none"/>
    </w:rPr>
  </w:style>
  <w:style w:type="character" w:styleId="Strong">
    <w:name w:val="Strong"/>
    <w:basedOn w:val="DefaultParagraphFont"/>
    <w:uiPriority w:val="22"/>
    <w:qFormat/>
    <w:rsid w:val="00BB32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829669">
      <w:bodyDiv w:val="1"/>
      <w:marLeft w:val="0"/>
      <w:marRight w:val="0"/>
      <w:marTop w:val="0"/>
      <w:marBottom w:val="0"/>
      <w:divBdr>
        <w:top w:val="none" w:sz="0" w:space="0" w:color="auto"/>
        <w:left w:val="none" w:sz="0" w:space="0" w:color="auto"/>
        <w:bottom w:val="none" w:sz="0" w:space="0" w:color="auto"/>
        <w:right w:val="none" w:sz="0" w:space="0" w:color="auto"/>
      </w:divBdr>
    </w:div>
    <w:div w:id="1566263621">
      <w:bodyDiv w:val="1"/>
      <w:marLeft w:val="0"/>
      <w:marRight w:val="0"/>
      <w:marTop w:val="0"/>
      <w:marBottom w:val="0"/>
      <w:divBdr>
        <w:top w:val="none" w:sz="0" w:space="0" w:color="auto"/>
        <w:left w:val="none" w:sz="0" w:space="0" w:color="auto"/>
        <w:bottom w:val="none" w:sz="0" w:space="0" w:color="auto"/>
        <w:right w:val="none" w:sz="0" w:space="0" w:color="auto"/>
      </w:divBdr>
      <w:divsChild>
        <w:div w:id="616567738">
          <w:marLeft w:val="0"/>
          <w:marRight w:val="0"/>
          <w:marTop w:val="0"/>
          <w:marBottom w:val="0"/>
          <w:divBdr>
            <w:top w:val="none" w:sz="0" w:space="0" w:color="auto"/>
            <w:left w:val="none" w:sz="0" w:space="0" w:color="auto"/>
            <w:bottom w:val="none" w:sz="0" w:space="0" w:color="auto"/>
            <w:right w:val="none" w:sz="0" w:space="0" w:color="auto"/>
          </w:divBdr>
          <w:divsChild>
            <w:div w:id="1972243851">
              <w:marLeft w:val="0"/>
              <w:marRight w:val="0"/>
              <w:marTop w:val="0"/>
              <w:marBottom w:val="0"/>
              <w:divBdr>
                <w:top w:val="none" w:sz="0" w:space="0" w:color="auto"/>
                <w:left w:val="none" w:sz="0" w:space="0" w:color="auto"/>
                <w:bottom w:val="none" w:sz="0" w:space="0" w:color="auto"/>
                <w:right w:val="none" w:sz="0" w:space="0" w:color="auto"/>
              </w:divBdr>
              <w:divsChild>
                <w:div w:id="744574264">
                  <w:marLeft w:val="0"/>
                  <w:marRight w:val="0"/>
                  <w:marTop w:val="0"/>
                  <w:marBottom w:val="0"/>
                  <w:divBdr>
                    <w:top w:val="none" w:sz="0" w:space="0" w:color="auto"/>
                    <w:left w:val="none" w:sz="0" w:space="0" w:color="auto"/>
                    <w:bottom w:val="none" w:sz="0" w:space="0" w:color="auto"/>
                    <w:right w:val="none" w:sz="0" w:space="0" w:color="auto"/>
                  </w:divBdr>
                  <w:divsChild>
                    <w:div w:id="14984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60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DISHANI GUHA</dc:creator>
  <cp:keywords/>
  <dc:description/>
  <cp:lastModifiedBy>Mr. Ujwal  Nandekar</cp:lastModifiedBy>
  <cp:revision>3</cp:revision>
  <dcterms:created xsi:type="dcterms:W3CDTF">2025-01-20T05:58:00Z</dcterms:created>
  <dcterms:modified xsi:type="dcterms:W3CDTF">2025-01-20T08:18:00Z</dcterms:modified>
</cp:coreProperties>
</file>